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5F6785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5F6785">
        <w:rPr>
          <w:rFonts w:ascii="Courier New" w:hAnsi="Courier New" w:cs="Courier New"/>
          <w:b/>
          <w:color w:val="000000"/>
          <w:szCs w:val="24"/>
          <w:lang w:eastAsia="ar-SA"/>
        </w:rPr>
        <w:t>001</w:t>
      </w:r>
      <w:r w:rsidR="00292480">
        <w:rPr>
          <w:rFonts w:ascii="Courier New" w:hAnsi="Courier New" w:cs="Courier New"/>
          <w:b/>
          <w:color w:val="000000"/>
          <w:szCs w:val="24"/>
          <w:lang w:eastAsia="ar-SA"/>
        </w:rPr>
        <w:t>5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5F6785" w:rsidRPr="005F6785" w:rsidRDefault="005F6785" w:rsidP="00FA74DB">
      <w:pPr>
        <w:pStyle w:val="Ttulo"/>
        <w:spacing w:before="60" w:after="0"/>
        <w:ind w:right="-1"/>
        <w:rPr>
          <w:rFonts w:ascii="Courier New" w:hAnsi="Courier New" w:cs="Courier New"/>
          <w:bCs/>
          <w:color w:val="000000"/>
          <w:sz w:val="22"/>
          <w:szCs w:val="22"/>
          <w:lang w:eastAsia="ar-SA"/>
        </w:rPr>
      </w:pPr>
      <w:r w:rsidRPr="005F6785">
        <w:rPr>
          <w:rFonts w:ascii="Courier New" w:hAnsi="Courier New" w:cs="Courier New"/>
          <w:bCs/>
          <w:color w:val="000000"/>
          <w:sz w:val="22"/>
          <w:szCs w:val="22"/>
          <w:lang w:eastAsia="ar-SA"/>
        </w:rPr>
        <w:t xml:space="preserve">AUTOR: PODER EXECUTIVO </w:t>
      </w:r>
    </w:p>
    <w:p w:rsidR="00FA74DB" w:rsidRPr="00FA74DB" w:rsidRDefault="00FA74DB" w:rsidP="00FA74DB">
      <w:pPr>
        <w:rPr>
          <w:rFonts w:ascii="Courier New" w:hAnsi="Courier New" w:cs="Courier New"/>
          <w:sz w:val="24"/>
          <w:szCs w:val="24"/>
        </w:rPr>
      </w:pPr>
    </w:p>
    <w:p w:rsidR="00B076E0" w:rsidRPr="00082F6E" w:rsidRDefault="00B076E0" w:rsidP="00B076E0">
      <w:pPr>
        <w:spacing w:line="240" w:lineRule="auto"/>
        <w:rPr>
          <w:rFonts w:ascii="Verdana" w:eastAsia="Times New Roman" w:hAnsi="Verdana" w:cs="Courier New"/>
          <w:sz w:val="20"/>
          <w:szCs w:val="20"/>
          <w:lang w:eastAsia="pt-BR"/>
        </w:rPr>
      </w:pPr>
    </w:p>
    <w:p w:rsidR="00B076E0" w:rsidRPr="00082F6E" w:rsidRDefault="00B076E0" w:rsidP="00B076E0">
      <w:pPr>
        <w:spacing w:line="240" w:lineRule="auto"/>
        <w:ind w:left="3600"/>
        <w:rPr>
          <w:rFonts w:ascii="Verdana" w:eastAsia="Times New Roman" w:hAnsi="Verdana" w:cs="Courier New"/>
          <w:sz w:val="20"/>
          <w:szCs w:val="20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B076E0" w:rsidRPr="007F51E3" w:rsidTr="00C764A1">
        <w:trPr>
          <w:tblCellSpacing w:w="0" w:type="dxa"/>
        </w:trPr>
        <w:tc>
          <w:tcPr>
            <w:tcW w:w="6450" w:type="dxa"/>
            <w:hideMark/>
          </w:tcPr>
          <w:p w:rsidR="00B076E0" w:rsidRPr="007F51E3" w:rsidRDefault="007F51E3" w:rsidP="00FA18FB">
            <w:pPr>
              <w:spacing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</w:pPr>
            <w:r w:rsidRPr="007F51E3">
              <w:rPr>
                <w:rFonts w:ascii="Courier New" w:eastAsia="Cambria" w:hAnsi="Courier New" w:cs="Courier New"/>
                <w:b/>
                <w:bCs/>
                <w:sz w:val="24"/>
                <w:szCs w:val="24"/>
              </w:rPr>
              <w:t>DISPÕE SOBRE A ABERTURA DE CR</w:t>
            </w:r>
            <w:r w:rsidR="00446ECD">
              <w:rPr>
                <w:rFonts w:ascii="Courier New" w:eastAsia="Cambria" w:hAnsi="Courier New" w:cs="Courier New"/>
                <w:b/>
                <w:bCs/>
                <w:sz w:val="24"/>
                <w:szCs w:val="24"/>
              </w:rPr>
              <w:t>É</w:t>
            </w:r>
            <w:r w:rsidRPr="007F51E3">
              <w:rPr>
                <w:rFonts w:ascii="Courier New" w:eastAsia="Cambria" w:hAnsi="Courier New" w:cs="Courier New"/>
                <w:b/>
                <w:bCs/>
                <w:sz w:val="24"/>
                <w:szCs w:val="24"/>
              </w:rPr>
              <w:t xml:space="preserve">DITO </w:t>
            </w:r>
            <w:r w:rsidR="004934E0">
              <w:rPr>
                <w:rFonts w:ascii="Courier New" w:eastAsia="Cambria" w:hAnsi="Courier New" w:cs="Courier New"/>
                <w:b/>
                <w:bCs/>
                <w:sz w:val="24"/>
                <w:szCs w:val="24"/>
              </w:rPr>
              <w:t>ESPECIAL</w:t>
            </w:r>
            <w:r w:rsidRPr="007F51E3">
              <w:rPr>
                <w:rFonts w:ascii="Courier New" w:eastAsia="Cambria" w:hAnsi="Courier New" w:cs="Courier New"/>
                <w:b/>
                <w:bCs/>
                <w:sz w:val="24"/>
                <w:szCs w:val="24"/>
              </w:rPr>
              <w:t xml:space="preserve"> AO ORÇAMENTO VIGENTE</w:t>
            </w:r>
            <w:r w:rsidRPr="007F51E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 xml:space="preserve"> NO MUNICÍPIO DE ARARUNA/PB, E DÁ OUTRAS PROVIDÊNCIAS.                                     </w:t>
            </w:r>
          </w:p>
        </w:tc>
      </w:tr>
    </w:tbl>
    <w:p w:rsidR="007F51E3" w:rsidRPr="00B076E0" w:rsidRDefault="007F51E3" w:rsidP="006C699E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7F51E3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03A01" w:rsidRPr="007F51E3" w:rsidRDefault="00B076E0" w:rsidP="007C420D">
      <w:pPr>
        <w:pStyle w:val="Corpodetexto2"/>
        <w:spacing w:line="240" w:lineRule="auto"/>
        <w:ind w:firstLine="1134"/>
        <w:rPr>
          <w:rFonts w:ascii="Courier New" w:hAnsi="Courier New" w:cs="Courier New"/>
          <w:b/>
          <w:sz w:val="24"/>
          <w:szCs w:val="24"/>
        </w:rPr>
      </w:pPr>
      <w:r w:rsidRPr="007F51E3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ab/>
      </w:r>
      <w:r w:rsidR="007F51E3" w:rsidRPr="007F51E3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O</w:t>
      </w:r>
      <w:r w:rsidR="00C03A01" w:rsidRPr="007F51E3">
        <w:rPr>
          <w:rFonts w:ascii="Courier New" w:hAnsi="Courier New" w:cs="Courier New"/>
          <w:b/>
          <w:bCs/>
          <w:sz w:val="24"/>
          <w:szCs w:val="24"/>
        </w:rPr>
        <w:t xml:space="preserve"> PREFEITO CONSTITUCIONAL DE ARARUNA</w:t>
      </w:r>
      <w:r w:rsidR="00C03A01" w:rsidRPr="007F51E3">
        <w:rPr>
          <w:rFonts w:ascii="Courier New" w:hAnsi="Courier New" w:cs="Courier New"/>
          <w:b/>
          <w:sz w:val="24"/>
          <w:szCs w:val="24"/>
        </w:rPr>
        <w:t xml:space="preserve">, </w:t>
      </w:r>
      <w:r w:rsidR="00C03A01" w:rsidRPr="007F51E3">
        <w:rPr>
          <w:rFonts w:ascii="Courier New" w:hAnsi="Courier New" w:cs="Courier New"/>
          <w:sz w:val="24"/>
          <w:szCs w:val="24"/>
        </w:rPr>
        <w:t>Estado da Paraíba, no uso de suas atribuições legais</w:t>
      </w:r>
      <w:r w:rsidR="006C699E">
        <w:rPr>
          <w:rFonts w:ascii="Courier New" w:hAnsi="Courier New" w:cs="Courier New"/>
          <w:sz w:val="24"/>
          <w:szCs w:val="24"/>
        </w:rPr>
        <w:t xml:space="preserve"> </w:t>
      </w:r>
      <w:r w:rsidR="007F51E3" w:rsidRPr="007F51E3">
        <w:rPr>
          <w:rFonts w:ascii="Courier New" w:eastAsia="Cambria" w:hAnsi="Courier New" w:cs="Courier New"/>
          <w:sz w:val="24"/>
          <w:szCs w:val="24"/>
        </w:rPr>
        <w:t xml:space="preserve">e em conformidade com a Lei Orgânica Municipal, com fundamento no § 3º do </w:t>
      </w:r>
      <w:r w:rsidR="007F51E3">
        <w:rPr>
          <w:rFonts w:ascii="Courier New" w:eastAsia="Cambria" w:hAnsi="Courier New" w:cs="Courier New"/>
          <w:sz w:val="24"/>
          <w:szCs w:val="24"/>
        </w:rPr>
        <w:t>a</w:t>
      </w:r>
      <w:r w:rsidR="007F51E3" w:rsidRPr="007F51E3">
        <w:rPr>
          <w:rFonts w:ascii="Courier New" w:eastAsia="Cambria" w:hAnsi="Courier New" w:cs="Courier New"/>
          <w:sz w:val="24"/>
          <w:szCs w:val="24"/>
        </w:rPr>
        <w:t>rt</w:t>
      </w:r>
      <w:r w:rsidR="007F51E3">
        <w:rPr>
          <w:rFonts w:ascii="Courier New" w:eastAsia="Cambria" w:hAnsi="Courier New" w:cs="Courier New"/>
          <w:sz w:val="24"/>
          <w:szCs w:val="24"/>
        </w:rPr>
        <w:t>.</w:t>
      </w:r>
      <w:r w:rsidR="007F51E3" w:rsidRPr="007F51E3">
        <w:rPr>
          <w:rFonts w:ascii="Courier New" w:eastAsia="Cambria" w:hAnsi="Courier New" w:cs="Courier New"/>
          <w:sz w:val="24"/>
          <w:szCs w:val="24"/>
        </w:rPr>
        <w:t xml:space="preserve"> 167 da Constituição Federal, no inciso III do art. 41 e art. 44 e 45 da lei Federal de nº 4.320 de 14 de março de 1964 e na Lei Federal Complementar de nº 195 de 08 de Julho de 2022</w:t>
      </w:r>
      <w:r w:rsidR="007F51E3">
        <w:rPr>
          <w:rFonts w:ascii="Courier New" w:eastAsia="Cambria" w:hAnsi="Courier New" w:cs="Courier New"/>
          <w:sz w:val="24"/>
          <w:szCs w:val="24"/>
        </w:rPr>
        <w:t xml:space="preserve">, </w:t>
      </w:r>
      <w:r w:rsidR="00C03A01" w:rsidRPr="007F51E3">
        <w:rPr>
          <w:rFonts w:ascii="Courier New" w:hAnsi="Courier New" w:cs="Courier New"/>
          <w:sz w:val="24"/>
          <w:szCs w:val="24"/>
        </w:rPr>
        <w:t>faço saber que a Câmara Municipal aprovou e eu sanciono a seguinte Lei:</w:t>
      </w:r>
    </w:p>
    <w:p w:rsidR="00B076E0" w:rsidRPr="007F51E3" w:rsidRDefault="00B076E0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7F51E3" w:rsidRDefault="007F51E3" w:rsidP="007F51E3">
      <w:pPr>
        <w:spacing w:line="240" w:lineRule="auto"/>
        <w:ind w:firstLine="1843"/>
        <w:rPr>
          <w:rFonts w:ascii="Courier New" w:eastAsia="Cambria" w:hAnsi="Courier New" w:cs="Courier New"/>
          <w:sz w:val="24"/>
          <w:szCs w:val="24"/>
        </w:rPr>
      </w:pPr>
      <w:r w:rsidRPr="004934E0">
        <w:rPr>
          <w:rFonts w:ascii="Courier New" w:eastAsia="Cambria" w:hAnsi="Courier New" w:cs="Courier New"/>
          <w:b/>
          <w:bCs/>
          <w:sz w:val="24"/>
          <w:szCs w:val="24"/>
        </w:rPr>
        <w:t>Art. 1º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 - Fica aberto um c</w:t>
      </w:r>
      <w:r w:rsidR="004934E0">
        <w:rPr>
          <w:rFonts w:ascii="Courier New" w:eastAsia="Cambria" w:hAnsi="Courier New" w:cs="Courier New"/>
          <w:sz w:val="24"/>
          <w:szCs w:val="24"/>
        </w:rPr>
        <w:t>réd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ito </w:t>
      </w:r>
      <w:r w:rsidR="004934E0">
        <w:rPr>
          <w:rFonts w:ascii="Courier New" w:eastAsia="Cambria" w:hAnsi="Courier New" w:cs="Courier New"/>
          <w:sz w:val="24"/>
          <w:szCs w:val="24"/>
        </w:rPr>
        <w:t>especial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, no montante de R$ 250.000,00 (Duzentos e </w:t>
      </w:r>
      <w:proofErr w:type="spellStart"/>
      <w:r w:rsidRPr="007F51E3">
        <w:rPr>
          <w:rFonts w:ascii="Courier New" w:eastAsia="Cambria" w:hAnsi="Courier New" w:cs="Courier New"/>
          <w:sz w:val="24"/>
          <w:szCs w:val="24"/>
        </w:rPr>
        <w:t>Cinquenta</w:t>
      </w:r>
      <w:proofErr w:type="spellEnd"/>
      <w:r w:rsidRPr="007F51E3">
        <w:rPr>
          <w:rFonts w:ascii="Courier New" w:eastAsia="Cambria" w:hAnsi="Courier New" w:cs="Courier New"/>
          <w:sz w:val="24"/>
          <w:szCs w:val="24"/>
        </w:rPr>
        <w:t xml:space="preserve"> Mil Reais), destinados ao esforço de dotação do orçamento público do município de Araruna – PB, vigente como segue, visando fomentar as ações que serão desenvolvidas no âmbito da Política </w:t>
      </w:r>
      <w:r w:rsidR="004B5141" w:rsidRPr="007F51E3">
        <w:rPr>
          <w:rFonts w:ascii="Courier New" w:eastAsia="Cambria" w:hAnsi="Courier New" w:cs="Courier New"/>
          <w:sz w:val="24"/>
          <w:szCs w:val="24"/>
        </w:rPr>
        <w:t>Pública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 ligada ao segmento artístico cultural com dotações orçamentárias ligadas </w:t>
      </w:r>
      <w:r w:rsidR="004934E0">
        <w:rPr>
          <w:rFonts w:ascii="Courier New" w:eastAsia="Cambria" w:hAnsi="Courier New" w:cs="Courier New"/>
          <w:sz w:val="24"/>
          <w:szCs w:val="24"/>
        </w:rPr>
        <w:t>à</w:t>
      </w:r>
      <w:r w:rsidRPr="007F51E3">
        <w:rPr>
          <w:rFonts w:ascii="Courier New" w:eastAsia="Cambria" w:hAnsi="Courier New" w:cs="Courier New"/>
          <w:sz w:val="24"/>
          <w:szCs w:val="24"/>
        </w:rPr>
        <w:t>s ações contempladas pela Lei Federal Complementar de nº 195</w:t>
      </w:r>
      <w:r w:rsidR="004934E0">
        <w:rPr>
          <w:rFonts w:ascii="Courier New" w:eastAsia="Cambria" w:hAnsi="Courier New" w:cs="Courier New"/>
          <w:sz w:val="24"/>
          <w:szCs w:val="24"/>
        </w:rPr>
        <w:t xml:space="preserve"> (Lei Paulo Gustavo)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 para instruir e dar celeridade e efetividade as ações.</w:t>
      </w:r>
    </w:p>
    <w:p w:rsidR="007F51E3" w:rsidRDefault="007F51E3" w:rsidP="007F51E3">
      <w:pPr>
        <w:spacing w:line="240" w:lineRule="auto"/>
        <w:ind w:firstLine="1843"/>
        <w:rPr>
          <w:rFonts w:ascii="Courier New" w:eastAsia="Cambria" w:hAnsi="Courier New" w:cs="Courier New"/>
          <w:sz w:val="24"/>
          <w:szCs w:val="24"/>
        </w:rPr>
      </w:pPr>
    </w:p>
    <w:p w:rsidR="007F51E3" w:rsidRDefault="007F51E3" w:rsidP="007F51E3">
      <w:pPr>
        <w:spacing w:line="240" w:lineRule="auto"/>
        <w:ind w:firstLine="1843"/>
        <w:rPr>
          <w:rFonts w:ascii="Courier New" w:eastAsia="Cambria" w:hAnsi="Courier New" w:cs="Courier New"/>
          <w:sz w:val="24"/>
          <w:szCs w:val="24"/>
        </w:rPr>
      </w:pPr>
    </w:p>
    <w:p w:rsidR="007F51E3" w:rsidRPr="007F51E3" w:rsidRDefault="007F51E3" w:rsidP="007F51E3">
      <w:pPr>
        <w:spacing w:line="240" w:lineRule="auto"/>
        <w:ind w:firstLine="1843"/>
        <w:rPr>
          <w:rFonts w:ascii="Courier New" w:eastAsia="Cambria" w:hAnsi="Courier New" w:cs="Courier New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2"/>
        <w:gridCol w:w="4531"/>
        <w:gridCol w:w="1842"/>
      </w:tblGrid>
      <w:tr w:rsidR="007F51E3" w:rsidRPr="007F51E3" w:rsidTr="007F51E3">
        <w:tc>
          <w:tcPr>
            <w:tcW w:w="213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  <w:b/>
              </w:rPr>
            </w:pPr>
            <w:r w:rsidRPr="007F51E3">
              <w:rPr>
                <w:rFonts w:ascii="Courier New" w:eastAsia="Cambria" w:hAnsi="Courier New" w:cs="Courier New"/>
                <w:b/>
              </w:rPr>
              <w:t>Código da Despesa</w:t>
            </w:r>
          </w:p>
        </w:tc>
        <w:tc>
          <w:tcPr>
            <w:tcW w:w="4531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  <w:b/>
              </w:rPr>
            </w:pPr>
            <w:r w:rsidRPr="007F51E3">
              <w:rPr>
                <w:rFonts w:ascii="Courier New" w:eastAsia="Cambria" w:hAnsi="Courier New" w:cs="Courier New"/>
                <w:b/>
              </w:rPr>
              <w:t>Tipo da Despesa</w:t>
            </w: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  <w:b/>
              </w:rPr>
            </w:pPr>
            <w:r w:rsidRPr="007F51E3">
              <w:rPr>
                <w:rFonts w:ascii="Courier New" w:eastAsia="Cambria" w:hAnsi="Courier New" w:cs="Courier New"/>
                <w:b/>
              </w:rPr>
              <w:t>Despesa R$</w:t>
            </w:r>
          </w:p>
        </w:tc>
      </w:tr>
      <w:tr w:rsidR="007F51E3" w:rsidRPr="007F51E3" w:rsidTr="007F51E3">
        <w:tc>
          <w:tcPr>
            <w:tcW w:w="213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3.3.90.36.13</w:t>
            </w:r>
          </w:p>
        </w:tc>
        <w:tc>
          <w:tcPr>
            <w:tcW w:w="4531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Outros serviços de terceiros - Pessoa Física</w:t>
            </w: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80.000,00</w:t>
            </w:r>
          </w:p>
        </w:tc>
      </w:tr>
      <w:tr w:rsidR="007F51E3" w:rsidRPr="007F51E3" w:rsidTr="007F51E3">
        <w:tc>
          <w:tcPr>
            <w:tcW w:w="213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3.3.90.39.89</w:t>
            </w:r>
          </w:p>
        </w:tc>
        <w:tc>
          <w:tcPr>
            <w:tcW w:w="4531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- Outros serviços de terceiros - Pessoa Jurídica</w:t>
            </w:r>
          </w:p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- Patrocínios</w:t>
            </w: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120.000,000</w:t>
            </w:r>
          </w:p>
        </w:tc>
      </w:tr>
      <w:tr w:rsidR="007F51E3" w:rsidRPr="007F51E3" w:rsidTr="007F51E3">
        <w:tc>
          <w:tcPr>
            <w:tcW w:w="213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3.3.90.31.01</w:t>
            </w:r>
          </w:p>
        </w:tc>
        <w:tc>
          <w:tcPr>
            <w:tcW w:w="4531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 xml:space="preserve">- Premiações culturais, </w:t>
            </w:r>
            <w:r w:rsidRPr="007F51E3">
              <w:rPr>
                <w:rFonts w:ascii="Courier New" w:eastAsia="Cambria" w:hAnsi="Courier New" w:cs="Courier New"/>
              </w:rPr>
              <w:lastRenderedPageBreak/>
              <w:t>artísticas, científicas e desportivas</w:t>
            </w:r>
          </w:p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- Premiação Cultural – Pecúnia</w:t>
            </w:r>
          </w:p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lastRenderedPageBreak/>
              <w:t>50.000,00</w:t>
            </w:r>
          </w:p>
        </w:tc>
      </w:tr>
      <w:tr w:rsidR="007F51E3" w:rsidRPr="007F51E3" w:rsidTr="007F51E3">
        <w:tc>
          <w:tcPr>
            <w:tcW w:w="6663" w:type="dxa"/>
            <w:gridSpan w:val="2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lastRenderedPageBreak/>
              <w:t>Total da atividade</w:t>
            </w: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250.000,00</w:t>
            </w:r>
          </w:p>
        </w:tc>
      </w:tr>
      <w:tr w:rsidR="007F51E3" w:rsidRPr="007F51E3" w:rsidTr="007F51E3">
        <w:tc>
          <w:tcPr>
            <w:tcW w:w="6663" w:type="dxa"/>
            <w:gridSpan w:val="2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Total da Unidade orçamentária</w:t>
            </w:r>
          </w:p>
        </w:tc>
        <w:tc>
          <w:tcPr>
            <w:tcW w:w="1842" w:type="dxa"/>
          </w:tcPr>
          <w:p w:rsidR="007F51E3" w:rsidRPr="007F51E3" w:rsidRDefault="007F51E3" w:rsidP="00114EC9">
            <w:pPr>
              <w:rPr>
                <w:rFonts w:ascii="Courier New" w:eastAsia="Cambria" w:hAnsi="Courier New" w:cs="Courier New"/>
              </w:rPr>
            </w:pPr>
            <w:r w:rsidRPr="007F51E3">
              <w:rPr>
                <w:rFonts w:ascii="Courier New" w:eastAsia="Cambria" w:hAnsi="Courier New" w:cs="Courier New"/>
              </w:rPr>
              <w:t>250.000,00</w:t>
            </w:r>
          </w:p>
        </w:tc>
      </w:tr>
    </w:tbl>
    <w:p w:rsidR="007F51E3" w:rsidRPr="007F51E3" w:rsidRDefault="007F51E3" w:rsidP="007F51E3">
      <w:pPr>
        <w:rPr>
          <w:rFonts w:ascii="Courier New" w:eastAsia="Cambria" w:hAnsi="Courier New" w:cs="Courier New"/>
        </w:rPr>
      </w:pPr>
    </w:p>
    <w:p w:rsidR="007F51E3" w:rsidRPr="007F51E3" w:rsidRDefault="007F51E3" w:rsidP="007F51E3">
      <w:pPr>
        <w:spacing w:line="240" w:lineRule="auto"/>
        <w:ind w:firstLine="1843"/>
        <w:rPr>
          <w:rFonts w:ascii="Courier New" w:eastAsia="Cambria" w:hAnsi="Courier New" w:cs="Courier New"/>
          <w:sz w:val="24"/>
          <w:szCs w:val="24"/>
        </w:rPr>
      </w:pPr>
      <w:r w:rsidRPr="007F51E3">
        <w:rPr>
          <w:rFonts w:ascii="Courier New" w:eastAsia="Cambria" w:hAnsi="Courier New" w:cs="Courier New"/>
          <w:b/>
          <w:bCs/>
          <w:sz w:val="24"/>
          <w:szCs w:val="24"/>
        </w:rPr>
        <w:t>Art. 2º -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 Em observância ao que </w:t>
      </w:r>
      <w:r w:rsidR="00446ECD">
        <w:rPr>
          <w:rFonts w:ascii="Courier New" w:eastAsia="Cambria" w:hAnsi="Courier New" w:cs="Courier New"/>
          <w:sz w:val="24"/>
          <w:szCs w:val="24"/>
        </w:rPr>
        <w:t>d</w:t>
      </w:r>
      <w:r w:rsidRPr="007F51E3">
        <w:rPr>
          <w:rFonts w:ascii="Courier New" w:eastAsia="Cambria" w:hAnsi="Courier New" w:cs="Courier New"/>
          <w:sz w:val="24"/>
          <w:szCs w:val="24"/>
        </w:rPr>
        <w:t xml:space="preserve">ispõe a Lei Federal de nº 195 de 08 de Julho de 2022, sobre apoio financeiro da União aos Estados, ao Distrito Federal e aos Municípios para garantir ações emergenciais direcionadas ao setor cultural; altera a Lei Complementar nº 101, de 4 de maio de 2000 (Lei de Responsabilidade Fiscal), para não contabilizar na meta de resultado primário as transferências federais aos demais entes da Federação para enfrentamento das </w:t>
      </w:r>
      <w:proofErr w:type="spellStart"/>
      <w:r w:rsidRPr="007F51E3">
        <w:rPr>
          <w:rFonts w:ascii="Courier New" w:eastAsia="Cambria" w:hAnsi="Courier New" w:cs="Courier New"/>
          <w:sz w:val="24"/>
          <w:szCs w:val="24"/>
        </w:rPr>
        <w:t>consequências</w:t>
      </w:r>
      <w:proofErr w:type="spellEnd"/>
      <w:r w:rsidRPr="007F51E3">
        <w:rPr>
          <w:rFonts w:ascii="Courier New" w:eastAsia="Cambria" w:hAnsi="Courier New" w:cs="Courier New"/>
          <w:sz w:val="24"/>
          <w:szCs w:val="24"/>
        </w:rPr>
        <w:t xml:space="preserve"> sociais e econômicas no setor cultural decorrentes de calamidades públicas ou pandemias; e altera a Lei nº 8.313, de 23 de dezembro de 1991, para atribuir outras fontes de recursos ao Fundo Nacional da Cultura (FNC).</w:t>
      </w:r>
    </w:p>
    <w:p w:rsidR="00FD7C8B" w:rsidRPr="007F51E3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7C420D" w:rsidRPr="007F51E3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7F51E3">
        <w:rPr>
          <w:rFonts w:ascii="Courier New" w:hAnsi="Courier New" w:cs="Courier New"/>
          <w:b/>
          <w:bCs/>
          <w:sz w:val="24"/>
          <w:szCs w:val="24"/>
        </w:rPr>
        <w:t xml:space="preserve">Art. </w:t>
      </w:r>
      <w:r w:rsidR="004934E0">
        <w:rPr>
          <w:rFonts w:ascii="Courier New" w:hAnsi="Courier New" w:cs="Courier New"/>
          <w:b/>
          <w:bCs/>
          <w:sz w:val="24"/>
          <w:szCs w:val="24"/>
        </w:rPr>
        <w:t>3</w:t>
      </w:r>
      <w:r w:rsidRPr="007F51E3">
        <w:rPr>
          <w:rFonts w:ascii="Courier New" w:hAnsi="Courier New" w:cs="Courier New"/>
          <w:b/>
          <w:bCs/>
          <w:sz w:val="24"/>
          <w:szCs w:val="24"/>
        </w:rPr>
        <w:t>º</w:t>
      </w:r>
      <w:r w:rsidR="004934E0">
        <w:rPr>
          <w:rFonts w:ascii="Courier New" w:hAnsi="Courier New" w:cs="Courier New"/>
          <w:b/>
          <w:bCs/>
          <w:sz w:val="24"/>
          <w:szCs w:val="24"/>
        </w:rPr>
        <w:t xml:space="preserve"> -</w:t>
      </w:r>
      <w:r w:rsidRPr="007F51E3">
        <w:rPr>
          <w:rFonts w:ascii="Courier New" w:hAnsi="Courier New" w:cs="Courier New"/>
          <w:sz w:val="24"/>
          <w:szCs w:val="24"/>
        </w:rPr>
        <w:t xml:space="preserve"> Esta Lei entra em vigor na data de sua publicação.</w:t>
      </w:r>
    </w:p>
    <w:p w:rsidR="00FD7C8B" w:rsidRPr="00FD7C8B" w:rsidRDefault="00FD7C8B" w:rsidP="007C420D">
      <w:pPr>
        <w:spacing w:line="240" w:lineRule="auto"/>
        <w:ind w:firstLine="1985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B076E0" w:rsidRP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GABINETE DO PREFEITO, ARARUNA - PB, </w:t>
      </w:r>
      <w:r w:rsidR="005F6785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10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</w:t>
      </w:r>
      <w:r w:rsidR="005F6785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AGOSTO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2023.</w:t>
      </w:r>
    </w:p>
    <w:p w:rsidR="00B076E0" w:rsidRDefault="00B076E0" w:rsidP="006C699E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6C699E" w:rsidP="00B076E0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E0" w:rsidRPr="00B076E0" w:rsidRDefault="00B076E0" w:rsidP="00B076E0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B076E0" w:rsidRDefault="00B076E0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076E0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A74DB" w:rsidRPr="00FA74DB" w:rsidRDefault="00FA74DB" w:rsidP="005F6785">
      <w:pPr>
        <w:spacing w:line="240" w:lineRule="auto"/>
        <w:rPr>
          <w:rFonts w:ascii="Courier New" w:hAnsi="Courier New" w:cs="Courier New"/>
          <w:sz w:val="20"/>
          <w:szCs w:val="20"/>
        </w:rPr>
      </w:pPr>
    </w:p>
    <w:sectPr w:rsidR="00FA74DB" w:rsidRPr="00FA74DB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CB" w:rsidRDefault="00DB4DCB" w:rsidP="00B91043">
      <w:pPr>
        <w:spacing w:line="240" w:lineRule="auto"/>
      </w:pPr>
      <w:r>
        <w:separator/>
      </w:r>
    </w:p>
  </w:endnote>
  <w:endnote w:type="continuationSeparator" w:id="1">
    <w:p w:rsidR="00DB4DCB" w:rsidRDefault="00DB4DC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FD5ED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CB" w:rsidRDefault="00DB4DCB" w:rsidP="00B91043">
      <w:pPr>
        <w:spacing w:line="240" w:lineRule="auto"/>
      </w:pPr>
      <w:r>
        <w:separator/>
      </w:r>
    </w:p>
  </w:footnote>
  <w:footnote w:type="continuationSeparator" w:id="1">
    <w:p w:rsidR="00DB4DCB" w:rsidRDefault="00DB4DC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489533404" name="Imagem 48953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28696319" name="Imagem 1228696319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A0837"/>
    <w:rsid w:val="000C5C23"/>
    <w:rsid w:val="00107134"/>
    <w:rsid w:val="0011633F"/>
    <w:rsid w:val="0013499F"/>
    <w:rsid w:val="001506EC"/>
    <w:rsid w:val="001539E9"/>
    <w:rsid w:val="00176602"/>
    <w:rsid w:val="002041DB"/>
    <w:rsid w:val="0022165C"/>
    <w:rsid w:val="00292480"/>
    <w:rsid w:val="002A48B0"/>
    <w:rsid w:val="002D0D40"/>
    <w:rsid w:val="002D28A2"/>
    <w:rsid w:val="003371EB"/>
    <w:rsid w:val="00350CBE"/>
    <w:rsid w:val="0038315F"/>
    <w:rsid w:val="003D11A6"/>
    <w:rsid w:val="003E3A62"/>
    <w:rsid w:val="00413FAF"/>
    <w:rsid w:val="00420927"/>
    <w:rsid w:val="00446ECD"/>
    <w:rsid w:val="00475BCE"/>
    <w:rsid w:val="004934E0"/>
    <w:rsid w:val="004A48DF"/>
    <w:rsid w:val="004B36BC"/>
    <w:rsid w:val="004B5141"/>
    <w:rsid w:val="004E7709"/>
    <w:rsid w:val="0050280C"/>
    <w:rsid w:val="00527B3A"/>
    <w:rsid w:val="005354AC"/>
    <w:rsid w:val="00540221"/>
    <w:rsid w:val="005523B3"/>
    <w:rsid w:val="005829F1"/>
    <w:rsid w:val="00593CDD"/>
    <w:rsid w:val="005F2D82"/>
    <w:rsid w:val="005F6785"/>
    <w:rsid w:val="00611BE2"/>
    <w:rsid w:val="006230F4"/>
    <w:rsid w:val="006435A9"/>
    <w:rsid w:val="00650755"/>
    <w:rsid w:val="00681F27"/>
    <w:rsid w:val="00692123"/>
    <w:rsid w:val="006A4CD2"/>
    <w:rsid w:val="006C699E"/>
    <w:rsid w:val="006E3D58"/>
    <w:rsid w:val="006F71CD"/>
    <w:rsid w:val="00715418"/>
    <w:rsid w:val="007246BE"/>
    <w:rsid w:val="0078360B"/>
    <w:rsid w:val="0079754B"/>
    <w:rsid w:val="007B160B"/>
    <w:rsid w:val="007B6CD1"/>
    <w:rsid w:val="007C420D"/>
    <w:rsid w:val="007C71D6"/>
    <w:rsid w:val="007D28DF"/>
    <w:rsid w:val="007D71B3"/>
    <w:rsid w:val="007E4C80"/>
    <w:rsid w:val="007F51E3"/>
    <w:rsid w:val="00812AF7"/>
    <w:rsid w:val="00873EDE"/>
    <w:rsid w:val="00896AFC"/>
    <w:rsid w:val="008C36B6"/>
    <w:rsid w:val="00905BC7"/>
    <w:rsid w:val="00924833"/>
    <w:rsid w:val="009823D2"/>
    <w:rsid w:val="009B2D98"/>
    <w:rsid w:val="009C7A2E"/>
    <w:rsid w:val="009F3FE8"/>
    <w:rsid w:val="009F7099"/>
    <w:rsid w:val="00A04B4D"/>
    <w:rsid w:val="00A40B99"/>
    <w:rsid w:val="00A51A71"/>
    <w:rsid w:val="00A720D2"/>
    <w:rsid w:val="00A76361"/>
    <w:rsid w:val="00AA6FB1"/>
    <w:rsid w:val="00AB5C49"/>
    <w:rsid w:val="00AD28EC"/>
    <w:rsid w:val="00AE489E"/>
    <w:rsid w:val="00AF619B"/>
    <w:rsid w:val="00B01EFD"/>
    <w:rsid w:val="00B076E0"/>
    <w:rsid w:val="00B105F7"/>
    <w:rsid w:val="00B50D50"/>
    <w:rsid w:val="00B67106"/>
    <w:rsid w:val="00B908B4"/>
    <w:rsid w:val="00B91043"/>
    <w:rsid w:val="00BC241B"/>
    <w:rsid w:val="00BC39D5"/>
    <w:rsid w:val="00C03A01"/>
    <w:rsid w:val="00C76CEF"/>
    <w:rsid w:val="00C841C4"/>
    <w:rsid w:val="00C9209E"/>
    <w:rsid w:val="00CB2DF1"/>
    <w:rsid w:val="00D00213"/>
    <w:rsid w:val="00D10302"/>
    <w:rsid w:val="00D119BA"/>
    <w:rsid w:val="00D23783"/>
    <w:rsid w:val="00D24ED2"/>
    <w:rsid w:val="00D362B0"/>
    <w:rsid w:val="00D46066"/>
    <w:rsid w:val="00D54E21"/>
    <w:rsid w:val="00DB45C0"/>
    <w:rsid w:val="00DB4DCB"/>
    <w:rsid w:val="00DD1A9A"/>
    <w:rsid w:val="00DE1C1B"/>
    <w:rsid w:val="00E01563"/>
    <w:rsid w:val="00E14233"/>
    <w:rsid w:val="00E6753A"/>
    <w:rsid w:val="00E90932"/>
    <w:rsid w:val="00EC0D80"/>
    <w:rsid w:val="00ED1688"/>
    <w:rsid w:val="00F0530F"/>
    <w:rsid w:val="00F27F43"/>
    <w:rsid w:val="00F51B01"/>
    <w:rsid w:val="00FA18FB"/>
    <w:rsid w:val="00FA74DB"/>
    <w:rsid w:val="00FC774C"/>
    <w:rsid w:val="00FD5ED6"/>
    <w:rsid w:val="00FD7C8B"/>
    <w:rsid w:val="00FE771E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2023-08-10T13:26:00Z</cp:lastPrinted>
  <dcterms:created xsi:type="dcterms:W3CDTF">2023-08-10T13:25:00Z</dcterms:created>
  <dcterms:modified xsi:type="dcterms:W3CDTF">2024-01-23T10:09:00Z</dcterms:modified>
</cp:coreProperties>
</file>